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rPr>
          <w:rFonts w:eastAsia="Garamond" w:cs="Garamond"/>
        </w:rPr>
      </w:pPr>
      <w:r>
        <w:rPr>
          <w:rFonts w:eastAsia="Garamond" w:cs="Garamond"/>
        </w:rPr>
        <w:t xml:space="preserve">                     </w:t>
      </w:r>
    </w:p>
    <w:p>
      <w:pPr>
        <w:pStyle w:val="Normal"/>
        <w:spacing w:lineRule="auto" w:line="360"/>
        <w:jc w:val="center"/>
        <w:rPr>
          <w:rFonts w:cs="Trade Gothic Next LT Pro Lt" w:ascii="Trade Gothic Next LT Pro Lt" w:hAnsi="Trade Gothic Next LT Pro Lt"/>
          <w:b/>
          <w:bCs/>
          <w:sz w:val="36"/>
          <w:szCs w:val="36"/>
          <w:u w:val="single"/>
        </w:rPr>
      </w:pPr>
      <w:r>
        <w:rPr>
          <w:rFonts w:cs="Trade Gothic Next LT Pro Lt" w:ascii="Trade Gothic Next LT Pro Lt" w:hAnsi="Trade Gothic Next LT Pro Lt"/>
          <w:b/>
          <w:bCs/>
          <w:sz w:val="36"/>
          <w:szCs w:val="36"/>
          <w:u w:val="single"/>
        </w:rPr>
        <w:t>PROPOSICIÓN AL PLENO DEL AYUNTAMIENTO DE JEREZ</w:t>
      </w:r>
    </w:p>
    <w:p>
      <w:pPr>
        <w:pStyle w:val="Sinespaciado"/>
        <w:jc w:val="both"/>
        <w:rPr>
          <w:rFonts w:cs="Trade Gothic Next LT Pro" w:ascii="Trade Gothic Next LT Pro" w:hAnsi="Trade Gothic Next LT Pro"/>
          <w:b/>
          <w:sz w:val="24"/>
          <w:szCs w:val="24"/>
        </w:rPr>
      </w:pPr>
      <w:r>
        <w:rPr>
          <w:rFonts w:cs="Trade Gothic Next LT Pro Lt" w:ascii="Trade Gothic Next LT Pro" w:hAnsi="Trade Gothic Next LT Pro"/>
          <w:sz w:val="24"/>
          <w:szCs w:val="24"/>
        </w:rPr>
        <w:t xml:space="preserve">D. Raúl Ruiz-Berdejo, Portavoz del Grupo Municipal de Izquierda Unida y D. Santiago Sánchez Muñoz, Portavoz del Grupo Municipal Ganemos Jerez, al amparo de lo dispuesto en el Reglamento de Organización, Funcionamiento y Régimen Jurídico de las Entidades Locales, presentan para su aprobación la presente </w:t>
      </w:r>
      <w:r>
        <w:rPr>
          <w:rFonts w:cs="Trade Gothic Next LT Pro Lt" w:ascii="Trade Gothic Next LT Pro" w:hAnsi="Trade Gothic Next LT Pro"/>
          <w:b/>
          <w:sz w:val="24"/>
          <w:szCs w:val="24"/>
        </w:rPr>
        <w:t>PROPOSICIÓN</w:t>
      </w:r>
      <w:r>
        <w:rPr>
          <w:rFonts w:cs="Trade Gothic Next LT Pro Lt" w:ascii="Trade Gothic Next LT Pro" w:hAnsi="Trade Gothic Next LT Pro"/>
          <w:sz w:val="24"/>
          <w:szCs w:val="24"/>
        </w:rPr>
        <w:t xml:space="preserve">  </w:t>
      </w:r>
      <w:r>
        <w:rPr>
          <w:rFonts w:cs="Trade Gothic Next LT Pro" w:ascii="Trade Gothic Next LT Pro" w:hAnsi="Trade Gothic Next LT Pro"/>
          <w:b/>
          <w:sz w:val="24"/>
          <w:szCs w:val="24"/>
        </w:rPr>
        <w:t>SOBRE EL PRODUCTO EUROPEO DE PENSIONES INDIVIDUALES (PEPP)</w:t>
      </w:r>
    </w:p>
    <w:p>
      <w:pPr>
        <w:pStyle w:val="Sinespaciado"/>
        <w:jc w:val="both"/>
        <w:rPr>
          <w:rFonts w:cs="Trade Gothic Next LT Pro" w:ascii="Trade Gothic Next LT Pro" w:hAnsi="Trade Gothic Next LT Pro"/>
          <w:sz w:val="24"/>
          <w:szCs w:val="24"/>
        </w:rPr>
      </w:pPr>
      <w:r>
        <w:rPr>
          <w:rFonts w:cs="Trade Gothic Next LT Pro" w:ascii="Trade Gothic Next LT Pro" w:hAnsi="Trade Gothic Next LT Pro"/>
          <w:sz w:val="24"/>
          <w:szCs w:val="24"/>
        </w:rPr>
      </w:r>
    </w:p>
    <w:p>
      <w:pPr>
        <w:pStyle w:val="Normal"/>
        <w:rPr>
          <w:rFonts w:cs="Trade Gothic Next LT Pro Lt" w:ascii="Trade Gothic Next LT Pro" w:hAnsi="Trade Gothic Next LT Pro"/>
        </w:rPr>
      </w:pPr>
      <w:r>
        <w:rPr>
          <w:rFonts w:cs="Trade Gothic Next LT Pro Lt" w:ascii="Trade Gothic Next LT Pro" w:hAnsi="Trade Gothic Next LT Pro"/>
        </w:rPr>
      </w:r>
    </w:p>
    <w:p>
      <w:pPr>
        <w:pStyle w:val="Normal"/>
        <w:jc w:val="center"/>
        <w:rPr>
          <w:rFonts w:cs="Trade Gothic Next LT Pro Lt" w:ascii="Trade Gothic Next LT Pro" w:hAnsi="Trade Gothic Next LT Pro"/>
          <w:b/>
          <w:bCs/>
          <w:sz w:val="28"/>
        </w:rPr>
      </w:pPr>
      <w:r>
        <w:rPr>
          <w:rFonts w:cs="Trade Gothic Next LT Pro Lt" w:ascii="Trade Gothic Next LT Pro" w:hAnsi="Trade Gothic Next LT Pro"/>
          <w:b/>
          <w:bCs/>
          <w:sz w:val="28"/>
        </w:rPr>
        <w:t>EXPOSICIÓN DE MOTIVOS</w:t>
      </w:r>
    </w:p>
    <w:p>
      <w:pPr>
        <w:pStyle w:val="Normal"/>
        <w:jc w:val="both"/>
        <w:rPr>
          <w:rFonts w:cs="Trade Gothic Next LT Pro Lt" w:ascii="Trade Gothic Next LT Pro" w:hAnsi="Trade Gothic Next LT Pro"/>
          <w:sz w:val="28"/>
        </w:rPr>
      </w:pPr>
      <w:r>
        <w:rPr>
          <w:rFonts w:cs="Trade Gothic Next LT Pro Lt" w:ascii="Trade Gothic Next LT Pro" w:hAnsi="Trade Gothic Next LT Pro"/>
          <w:sz w:val="28"/>
        </w:rPr>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La Comisión Europea (CE) redactó en junio de 2017 una </w:t>
      </w:r>
      <w:r>
        <w:rPr>
          <w:rFonts w:cs="Trade Gothic Next LT Pro" w:ascii="Trade Gothic Next LT Pro" w:hAnsi="Trade Gothic Next LT Pro"/>
          <w:i/>
          <w:iCs/>
        </w:rPr>
        <w:t>Propuesta de Reglamento Europeo y del Consejo sobre un producto paneuropeo de pensiones individuales (PEPP)</w:t>
      </w:r>
      <w:r>
        <w:rPr>
          <w:rFonts w:cs="Trade Gothic Next LT Pro" w:ascii="Trade Gothic Next LT Pro" w:hAnsi="Trade Gothic Next LT Pro"/>
        </w:rPr>
        <w:t>. La propuesta fue remitida al Parlamento Europeo para su debate y aprobación, concretamente fue entregada a la Comisión de Economía del Parlamento europeo y será sometida a votación en dicha Comisión los días 11 y 12 de julio de 2018.</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La Propuesta tiene como objetivo principal, tal como su texto repite con insistencia, el desarrollo de los mercados de capitales europeos. La CE promueve explícitamente la innovación financiera y la inversión en instrumentos derivados. Debemos recordar que la innovación financiera y la proliferación de derivados están en el origen de la crisis económica y financiera de 2008, la crisis más grave del capitalismo desde 1929. Esta crisis provocó enormes daños en forma de aumento del paro, de la exclusión social y de la desigualdad. Las entidades que la habían provocado, con la innovación financiera y creación y difusión de instrumentos derivados, debieron ser rescatadas con cuantiosos fondos públicos.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Asimismo, la Propuesta recomienda a los Estados miembros que aprueben desgravaciones fiscales para las personas suscriptoras del PEPP. Estas desgravaciones fiscales benefician a las personas perceptoras de altos ingresos, las únicas que podrán aportar cantidades significativas al PEPP, al mismo tiempo que reducirán los ingresos públicos y reducirán la progresividad de los sistemas impositivos.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En definitiva, la CE opta por promover fondos de pensiones privados antes que garantizar la suficiencia de las pensiones públicas, tal y como queda explícito en la Propuesta, la cual consideramos como un importante paso en el camino de reducir las pensiones públicas para dejar espacio a los fondos privados de capitalización. La Propuesta de la CE sigue las recomendaciones del Banco Mundial (BM)1: reducir las pensiones públicas hasta un tamaño modesto para complementarlas con fondos privados de capitalización. </w:t>
      </w:r>
    </w:p>
    <w:p>
      <w:pPr>
        <w:pStyle w:val="Default"/>
        <w:rPr>
          <w:rFonts w:cs="Trade Gothic Next LT Pro" w:ascii="Trade Gothic Next LT Pro" w:hAnsi="Trade Gothic Next LT Pro"/>
        </w:rPr>
      </w:pPr>
      <w:r>
        <w:rPr>
          <w:rFonts w:cs="Trade Gothic Next LT Pro" w:ascii="Trade Gothic Next LT Pro" w:hAnsi="Trade Gothic Next LT Pro"/>
        </w:rPr>
        <w:t>Concretando aún más, de la referenciada propuesta se deduce lo siguiente:</w:t>
      </w:r>
    </w:p>
    <w:p>
      <w:pPr>
        <w:pStyle w:val="Default"/>
        <w:rPr/>
      </w:pPr>
      <w:r>
        <w:rPr/>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1- El PEPP tiene como primer objetivo la creación de un mercado de capitales europeo dentro del “Plan de acción de la Comisión para la creación de un mercado de capitales de septiembre de 2015”2. La propuesta de la CE afirma que “Un mercado de pensiones europeo de ´tercer pilar´ de mayor tamaño impulsaría también el aporte de fondos de inversores institucionales”. El PEPP no es, por lo tanto, un instrumento de protección social, sino un mecanismo de acumulación de capitales.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2- La CE renuncia al objetivo de que las pensiones públicas sean suficientes, “el Informe sobre la adecuación de las pensiones de 2015 concluyó que el aumento de los ahorros adicionales ... destinados a la jubilación podría ... mitigar las repercusiones de unas pensiones más bajas de los regímenes públicos en algunos Estados miembros ... las pensiones complementarias podría desempeñar un papel clave en los ingresos por jubilación, en particular cuando las pensiones públicas puedan ser inadecuadas”.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3- Para promover la suscripción del PEPP la CE exige que se establezcan en los Estados miembros desgravaciones fiscales, “A fin de animar a los Estados miembros a conceder una desgravación fiscal a los PEPP, la Comisión ha adoptado, junto con la presente propuesta, una Recomendación sobre el tratamiento fiscal de los productos de pensiones individuales, incluido el producto paneuropeo de pensiones individuales”. Las desgravaciones fiscales por las aportaciones a los planes de pensiones individuales son muy regresivas. Las trabajadoras y trabajadores de salarios bajos no pueden destinar ninguna cantidad a planes de pensiones y por lo tanto no desgravan. Son los perceptores de altos salarios y rentas del capital los que pueden realizar grandes aportaciones y desgravar.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4- El PEPP abre un enorme espacio para la valorización del capital financiero. El valor de mercado de las pensiones individuales es de 0,7 billones de euros. La CE calcula que, sin la introducción del PEPP, aumentará hasta 1,4 billones en 2030 y, de introducirse el PEPP, hasta 2,1 billones. Su principal objetivo no es garantizar unas pensiones dignas para las trabajadoras y trabajadores en la edad de la jubilación, sino como la Propuesta repite una y otra vez, “Obtener más capital y canalizarlo hacia inversiones europeas a largo plazo en la economía real”. Sin embargo, debería ser el sector público, a través de un presupuesto europeo mucho mayor que el actual, el responsable de decidir y ejecutar las inversiones necesarias para la economía y la sociedad europeas, por ejemplo, para la transición a un sistema energético descarbonizado.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5- La Comisión Europea (CE) enmarca el PEPP en la promoción de la innovación financiera, “promover un entorno que estimule la innovación en el sector de productos financieros ... lo cual puede contribuir a su vez a la prestación de pensiones adecuadas, seguras y sostenibles”. Debemos recordar que la innovación financiera estuvo en el origen de la crisis financiera que explotó con violencia en 2007 provocando en las economías de los países capitalistas desarrollados la mayor crisis económica y social desde la Segunda Guerra Mundial. Además, la innovación financiera no garantizará pensiones seguras, sino que contribuirá a la acumulación de capitales en busca de valoración y a la inestabilidad financiera que se desencadenó a partir de los procesos de financiarización de la economía capitalista mundial. El despropósito y la irresponsabilidad llega al máximo cuando la CE sugiere la inversión en “instrumentos derivados” de altísimo riesgo y que contribuyen a incrementar de manera exponencial la probabilidad y gravedad de las crisis financieras.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6- La CE explica que el PEPP permitirá “garantizar que los consumidores sean plenamente conscientes de los elementos clave del producto”. La rentabilidad, o la falta de rentabilidad, de los productos financieros es esencialmente incierta. Hace falta recordar que en el origen de la crisis de 2007 está la creación y venta de productos financieros complejos construidos sobre hipotecas </w:t>
      </w:r>
      <w:r>
        <w:rPr>
          <w:rFonts w:cs="Trade Gothic Next LT Pro" w:ascii="Trade Gothic Next LT Pro" w:hAnsi="Trade Gothic Next LT Pro"/>
          <w:i/>
          <w:iCs/>
        </w:rPr>
        <w:t>subprime</w:t>
      </w:r>
      <w:r>
        <w:rPr>
          <w:rFonts w:cs="Trade Gothic Next LT Pro" w:ascii="Trade Gothic Next LT Pro" w:hAnsi="Trade Gothic Next LT Pro"/>
        </w:rPr>
        <w:t xml:space="preserve">. Las tres grandes agencias de calificación, Standar&amp;Poor´s, Moody´s y Fitch, les habían adjudicado a esos productos la calificación de AAA, máxima solvencia, semanas antes de que su valor se redujese a 0. Alan Greenspan, presidente entonces de la Reserva Federal y máximo gurú de las finanzas mundiales, reconoció “aunque era consciente de que muchas de esas prácticas estaban teniendo lugar, no tenía ni idea de lo significativas que habían llegado a ser hasta demasiado tarde". Con estos antecedentes pretender que las trabajadoras y trabajadores “sean plenamente conscientes de los elementos clave del producto” y de los riesgos que corren solo puede ser incompetencia o cinismo. </w:t>
      </w:r>
    </w:p>
    <w:p>
      <w:pPr>
        <w:pStyle w:val="Default"/>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7- La CE enumera los promotores del PEPP, “bancos, compañías de seguros, gestores de activos, fondos de pensiones de empleo, empresas de inversión”. De aprobarse por el PE el PEPP, se producirá un desvío de posibles cotizaciones sociales que podrían aumentar los ingresos de los sistemas públicos de pensiones a empresas privadas que obtendrán importantes beneficios. </w:t>
      </w:r>
    </w:p>
    <w:p>
      <w:pPr>
        <w:pStyle w:val="Normal"/>
        <w:suppressAutoHyphens w:val="false"/>
        <w:jc w:val="both"/>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spacing w:before="0" w:after="240"/>
        <w:jc w:val="both"/>
        <w:rPr>
          <w:rFonts w:eastAsia="Times New Roman" w:cs="Arial" w:ascii="Trade Gothic Next LT Pro" w:hAnsi="Trade Gothic Next LT Pro"/>
          <w:color w:val="000000"/>
          <w:szCs w:val="28"/>
          <w:lang w:eastAsia="es-ES"/>
        </w:rPr>
      </w:pPr>
      <w:r>
        <w:rPr>
          <w:rFonts w:cs="Trade Gothic Next LT Pro" w:ascii="Trade Gothic Next LT Pro" w:hAnsi="Trade Gothic Next LT Pro"/>
          <w:szCs w:val="28"/>
        </w:rPr>
        <w:t xml:space="preserve">Por todo lo expuesto anteriormente,  presentamos al Pleno para su aprobación, si procede, </w:t>
      </w:r>
      <w:r>
        <w:rPr>
          <w:rFonts w:eastAsia="Times New Roman" w:cs="Arial" w:ascii="Trade Gothic Next LT Pro" w:hAnsi="Trade Gothic Next LT Pro"/>
          <w:color w:val="000000"/>
          <w:szCs w:val="28"/>
          <w:lang w:eastAsia="es-ES"/>
        </w:rPr>
        <w:t>los siguientes</w:t>
      </w:r>
    </w:p>
    <w:p>
      <w:pPr>
        <w:pStyle w:val="Normal"/>
        <w:spacing w:before="0" w:after="240"/>
        <w:jc w:val="center"/>
        <w:rPr>
          <w:rFonts w:eastAsia="Times New Roman" w:cs="Arial" w:ascii="Trade Gothic Next LT Pro" w:hAnsi="Trade Gothic Next LT Pro"/>
          <w:b/>
          <w:color w:val="000000"/>
          <w:sz w:val="28"/>
          <w:lang w:eastAsia="es-ES"/>
        </w:rPr>
      </w:pPr>
      <w:r>
        <w:rPr>
          <w:rFonts w:eastAsia="Times New Roman" w:cs="Arial" w:ascii="Trade Gothic Next LT Pro" w:hAnsi="Trade Gothic Next LT Pro"/>
          <w:b/>
          <w:color w:val="000000"/>
          <w:sz w:val="28"/>
          <w:lang w:eastAsia="es-ES"/>
        </w:rPr>
        <w:t>ACUERDOS</w:t>
      </w:r>
    </w:p>
    <w:p>
      <w:pPr>
        <w:pStyle w:val="Sinespaciado"/>
        <w:jc w:val="both"/>
        <w:rPr>
          <w:rFonts w:cs="Trade Gothic Next LT Pro" w:ascii="Trade Gothic Next LT Pro" w:hAnsi="Trade Gothic Next LT Pro"/>
          <w:sz w:val="24"/>
          <w:szCs w:val="24"/>
        </w:rPr>
      </w:pPr>
      <w:r>
        <w:rPr>
          <w:rFonts w:cs="Trade Gothic Next LT Pro" w:ascii="Trade Gothic Next LT Pro" w:hAnsi="Trade Gothic Next LT Pro"/>
          <w:sz w:val="24"/>
          <w:szCs w:val="24"/>
        </w:rPr>
      </w:r>
    </w:p>
    <w:p>
      <w:pPr>
        <w:pStyle w:val="Default"/>
        <w:numPr>
          <w:ilvl w:val="0"/>
          <w:numId w:val="1"/>
        </w:numPr>
        <w:spacing w:before="0" w:after="240"/>
        <w:jc w:val="both"/>
        <w:rPr>
          <w:rFonts w:cs="Trade Gothic Next LT Pro" w:ascii="Trade Gothic Next LT Pro" w:hAnsi="Trade Gothic Next LT Pro"/>
        </w:rPr>
      </w:pPr>
      <w:r>
        <w:rPr>
          <w:rFonts w:cs="Trade Gothic Next LT Pro" w:ascii="Trade Gothic Next LT Pro" w:hAnsi="Trade Gothic Next LT Pro"/>
        </w:rPr>
        <w:t>Instar</w:t>
      </w:r>
      <w:r>
        <w:rPr>
          <w:rFonts w:cs="Trade Gothic Next LT Pro" w:ascii="Trade Gothic Next LT Pro" w:hAnsi="Trade Gothic Next LT Pro"/>
        </w:rPr>
        <w:t xml:space="preserve"> al Parlamento Europeo para pedirle </w:t>
      </w:r>
      <w:r>
        <w:rPr>
          <w:rFonts w:cs="Trade Gothic Next LT Pro" w:ascii="Trade Gothic Next LT Pro" w:hAnsi="Trade Gothic Next LT Pro"/>
        </w:rPr>
        <w:t>que</w:t>
      </w:r>
      <w:r>
        <w:rPr>
          <w:rFonts w:cs="Trade Gothic Next LT Pro" w:ascii="Trade Gothic Next LT Pro" w:hAnsi="Trade Gothic Next LT Pro"/>
        </w:rPr>
        <w:t xml:space="preserve"> rechace la Propuesta presentada por la CE. </w:t>
      </w:r>
    </w:p>
    <w:p>
      <w:pPr>
        <w:pStyle w:val="Default"/>
        <w:numPr>
          <w:ilvl w:val="0"/>
          <w:numId w:val="1"/>
        </w:numPr>
        <w:spacing w:before="0" w:after="240"/>
        <w:jc w:val="both"/>
        <w:rPr>
          <w:rFonts w:cs="Trade Gothic Next LT Pro" w:ascii="Trade Gothic Next LT Pro" w:hAnsi="Trade Gothic Next LT Pro"/>
        </w:rPr>
      </w:pPr>
      <w:r>
        <w:rPr>
          <w:rFonts w:cs="Trade Gothic Next LT Pro" w:ascii="Trade Gothic Next LT Pro" w:hAnsi="Trade Gothic Next LT Pro"/>
        </w:rPr>
        <w:t xml:space="preserve">Instar </w:t>
      </w:r>
      <w:r>
        <w:rPr>
          <w:rFonts w:cs="Trade Gothic Next LT Pro" w:ascii="Trade Gothic Next LT Pro" w:hAnsi="Trade Gothic Next LT Pro"/>
        </w:rPr>
        <w:t xml:space="preserve">al Parlamento Europeo para pedirle que estudie las medidas necesarias para que los sistemas públicos de pensiones garanticen unas pensiones dignas y suficientes. </w:t>
      </w:r>
    </w:p>
    <w:p>
      <w:pPr>
        <w:pStyle w:val="Normal"/>
        <w:numPr>
          <w:ilvl w:val="0"/>
          <w:numId w:val="1"/>
        </w:numPr>
        <w:spacing w:before="0" w:after="240"/>
        <w:jc w:val="both"/>
        <w:textAlignment w:val="baseline"/>
        <w:rPr>
          <w:rFonts w:cs="Trade Gothic Next LT Pro" w:ascii="Trade Gothic Next LT Pro" w:hAnsi="Trade Gothic Next LT Pro"/>
        </w:rPr>
      </w:pPr>
      <w:r>
        <w:rPr>
          <w:rFonts w:cs="Trade Gothic Next LT Pro" w:ascii="Trade Gothic Next LT Pro" w:hAnsi="Trade Gothic Next LT Pro"/>
        </w:rPr>
        <w:t>Instar</w:t>
      </w:r>
      <w:r>
        <w:rPr>
          <w:rFonts w:cs="Trade Gothic Next LT Pro" w:ascii="Trade Gothic Next LT Pro" w:hAnsi="Trade Gothic Next LT Pro"/>
        </w:rPr>
        <w:t xml:space="preserve"> al Parlamento Europeo para que promueva la eliminación de las desgravaciones fiscales de las aportaciones a los fondos de pensiones privados.</w:t>
      </w:r>
    </w:p>
    <w:p>
      <w:pPr>
        <w:pStyle w:val="Normal"/>
        <w:numPr>
          <w:ilvl w:val="0"/>
          <w:numId w:val="1"/>
        </w:numPr>
        <w:spacing w:before="0" w:after="240"/>
        <w:jc w:val="both"/>
        <w:textAlignment w:val="baseline"/>
        <w:rPr>
          <w:rFonts w:cs="Trade Gothic Next LT Pro" w:ascii="Trade Gothic Next LT Pro" w:hAnsi="Trade Gothic Next LT Pro"/>
        </w:rPr>
      </w:pPr>
      <w:r>
        <w:rPr>
          <w:rFonts w:cs="Trade Gothic Next LT Pro" w:ascii="Trade Gothic Next LT Pro" w:hAnsi="Trade Gothic Next LT Pro"/>
        </w:rPr>
        <w:t xml:space="preserve">Que se remita certificado de estos acuerdos plenarios al Parlamento Europeo (Comisión de Economía), así como una copia a la Coordinadora Estatal en Defensa del Sistema Público de Pensiones. </w:t>
      </w:r>
    </w:p>
    <w:p>
      <w:pPr>
        <w:pStyle w:val="Normal"/>
        <w:spacing w:before="0" w:after="240"/>
        <w:ind w:left="360" w:right="0" w:hanging="0"/>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t>En Jerez de la Frontera, a  06 de abril de 2018</w:t>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t> </w:t>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jc w:val="both"/>
        <w:textAlignment w:val="baseline"/>
        <w:rPr/>
      </w:pPr>
      <w:r>
        <w:rPr/>
      </w:r>
    </w:p>
    <w:p>
      <w:pPr>
        <w:pStyle w:val="Normal"/>
        <w:jc w:val="both"/>
        <w:textAlignment w:val="baseline"/>
        <w:rPr/>
      </w:pPr>
      <w:r>
        <w:rPr/>
      </w:r>
    </w:p>
    <w:p>
      <w:pPr>
        <w:pStyle w:val="Normal"/>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t>Fdo.: Raúl Ruiz-Berdejo García</w:t>
        <w:tab/>
        <w:tab/>
        <w:t>Fdo.: Santiago Sánchez Muñoz</w:t>
      </w:r>
    </w:p>
    <w:p>
      <w:pPr>
        <w:pStyle w:val="Normal"/>
        <w:spacing w:before="0" w:after="100"/>
        <w:jc w:val="both"/>
        <w:textAlignment w:val="baseline"/>
        <w:rPr>
          <w:rFonts w:eastAsia="Times New Roman" w:cs="Arial" w:ascii="Trade Gothic Next LT Pro" w:hAnsi="Trade Gothic Next LT Pro"/>
          <w:color w:val="000000"/>
          <w:lang w:eastAsia="es-ES"/>
        </w:rPr>
      </w:pPr>
      <w:r>
        <w:rPr>
          <w:rFonts w:eastAsia="Times New Roman" w:cs="Arial" w:ascii="Trade Gothic Next LT Pro" w:hAnsi="Trade Gothic Next LT Pro"/>
          <w:color w:val="000000"/>
          <w:lang w:eastAsia="es-ES"/>
        </w:rPr>
      </w:r>
    </w:p>
    <w:p>
      <w:pPr>
        <w:pStyle w:val="Normal"/>
        <w:spacing w:before="0" w:after="100"/>
        <w:jc w:val="both"/>
        <w:textAlignment w:val="baseline"/>
        <w:rPr/>
      </w:pPr>
      <w:r>
        <w:rPr/>
      </w:r>
    </w:p>
    <w:sectPr>
      <w:type w:val="nextPage"/>
      <w:pgSz w:w="11906" w:h="16838"/>
      <w:pgMar w:left="1134" w:right="1134" w:header="0" w:top="34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Trade Gothic Next LT Pro">
    <w:charset w:val="01"/>
    <w:family w:val="roman"/>
    <w:pitch w:val="variable"/>
  </w:font>
  <w:font w:name="Liberation Sans">
    <w:altName w:val="Arial"/>
    <w:charset w:val="01"/>
    <w:family w:val="swiss"/>
    <w:pitch w:val="variable"/>
  </w:font>
  <w:font w:name="Helvetica">
    <w:altName w:val="Arial"/>
    <w:charset w:val="01"/>
    <w:family w:val="roman"/>
    <w:pitch w:val="variable"/>
  </w:font>
  <w:font w:name="Calibri">
    <w:charset w:val="01"/>
    <w:family w:val="roman"/>
    <w:pitch w:val="variable"/>
  </w:font>
  <w:font w:name="Trade Gothic Next LT Pro L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suppressAutoHyphens w:val="true"/>
      <w:bidi w:val="0"/>
      <w:jc w:val="left"/>
    </w:pPr>
    <w:rPr>
      <w:rFonts w:ascii="Garamond" w:hAnsi="Garamond" w:eastAsia="SimSun;宋体" w:cs="Lucida Sans"/>
      <w:color w:val="00000A"/>
      <w:sz w:val="24"/>
      <w:szCs w:val="24"/>
      <w:lang w:val="es-ES" w:eastAsia="zh-CN" w:bidi="hi-IN"/>
    </w:rPr>
  </w:style>
  <w:style w:type="paragraph" w:styleId="Encabezado3">
    <w:name w:val="Encabezado 3"/>
    <w:basedOn w:val="Normal"/>
    <w:pPr>
      <w:spacing w:lineRule="auto" w:line="240" w:before="280" w:after="280"/>
      <w:outlineLvl w:val="2"/>
    </w:pPr>
    <w:rPr>
      <w:rFonts w:ascii="Times New Roman" w:hAnsi="Times New Roman" w:eastAsia="Times New Roman" w:cs="Times New Roman"/>
      <w:b/>
      <w:bCs/>
      <w:sz w:val="27"/>
      <w:szCs w:val="27"/>
      <w:lang w:val="es-ES"/>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rFonts w:ascii="Symbol" w:hAnsi="Symbol" w:cs="Symbol"/>
    </w:rPr>
  </w:style>
  <w:style w:type="character" w:styleId="WW8Num2z1">
    <w:name w:val="WW8Num2z1"/>
    <w:rPr>
      <w:rFonts w:ascii="OpenSymbol" w:hAnsi="OpenSymbol" w:cs="OpenSymbol"/>
    </w:rPr>
  </w:style>
  <w:style w:type="character" w:styleId="WW8Num3z0">
    <w:name w:val="WW8Num3z0"/>
    <w:rPr>
      <w:rFonts w:ascii="Times New Roman" w:hAnsi="Times New Roman" w:cs="Times New Roman"/>
      <w:i/>
      <w:iCs/>
      <w:sz w:val="26"/>
      <w:szCs w:val="26"/>
    </w:rPr>
  </w:style>
  <w:style w:type="character" w:styleId="WW8Num3z1">
    <w:name w:val="WW8Num3z1"/>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Symbol" w:hAnsi="Symbol" w:cs="OpenSymbol"/>
      <w:sz w:val="26"/>
      <w:szCs w:val="26"/>
    </w:rPr>
  </w:style>
  <w:style w:type="character" w:styleId="WW8Num4z1">
    <w:name w:val="WW8Num4z1"/>
    <w:rPr>
      <w:rFonts w:ascii="OpenSymbol" w:hAnsi="OpenSymbol" w:cs="OpenSymbol"/>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eastAsia="Times New Roman" w:cs="Arial"/>
    </w:rPr>
  </w:style>
  <w:style w:type="character" w:styleId="WW8Num7z1">
    <w:name w:val="WW8Num7z1"/>
    <w:rPr>
      <w:rFonts w:ascii="Courier New" w:hAnsi="Courier New" w:cs="Courier New"/>
    </w:rPr>
  </w:style>
  <w:style w:type="character" w:styleId="WW8Num7z2">
    <w:name w:val="WW8Num7z2"/>
    <w:rPr>
      <w:rFonts w:ascii="Wingdings" w:hAnsi="Wingdings" w:cs="Wingdings"/>
    </w:rPr>
  </w:style>
  <w:style w:type="character" w:styleId="WW8Num7z3">
    <w:name w:val="WW8Num7z3"/>
    <w:rPr>
      <w:rFonts w:ascii="Symbol" w:hAnsi="Symbol" w:cs="Symbol"/>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Trade Gothic Next LT Pro" w:hAnsi="Trade Gothic Next LT Pro" w:eastAsia="Times New Roman" w:cs="Trade Gothic Next LT Pro"/>
      <w:color w:val="000000"/>
      <w:lang w:eastAsia="es-ES"/>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Symbol" w:hAnsi="Symbol" w:eastAsia="Times New Roman" w:cs="Arial"/>
    </w:rPr>
  </w:style>
  <w:style w:type="character" w:styleId="WW8Num11z1">
    <w:name w:val="WW8Num11z1"/>
    <w:rPr>
      <w:rFonts w:ascii="Courier New" w:hAnsi="Courier New" w:cs="Courier New"/>
    </w:rPr>
  </w:style>
  <w:style w:type="character" w:styleId="WW8Num11z2">
    <w:name w:val="WW8Num11z2"/>
    <w:rPr>
      <w:rFonts w:ascii="Wingdings" w:hAnsi="Wingdings" w:cs="Wingdings"/>
    </w:rPr>
  </w:style>
  <w:style w:type="character" w:styleId="WW8Num11z3">
    <w:name w:val="WW8Num11z3"/>
    <w:rPr>
      <w:rFonts w:ascii="Symbol" w:hAnsi="Symbol" w:cs="Symbol"/>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Fuentedeprrafopredeter">
    <w:name w:val="Fuente de párrafo predeter."/>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Fuentedeprrafopredeter1">
    <w:name w:val="Fuente de párrafo predeter.1"/>
    <w:rPr/>
  </w:style>
  <w:style w:type="character" w:styleId="EncabezadoCar">
    <w:name w:val="Encabezado Car"/>
    <w:rPr>
      <w:rFonts w:ascii="Garamond" w:hAnsi="Garamond" w:eastAsia="SimSun;宋体" w:cs="Mangal;Liberation Mono"/>
      <w:sz w:val="24"/>
      <w:szCs w:val="21"/>
      <w:lang w:eastAsia="zh-CN" w:bidi="hi-IN"/>
    </w:rPr>
  </w:style>
  <w:style w:type="character" w:styleId="PiedepginaCar">
    <w:name w:val="Pie de página Car"/>
    <w:rPr>
      <w:rFonts w:ascii="Garamond" w:hAnsi="Garamond" w:eastAsia="SimSun;宋体" w:cs="Mangal;Liberation Mono"/>
      <w:sz w:val="24"/>
      <w:szCs w:val="21"/>
      <w:lang w:eastAsia="zh-CN" w:bidi="hi-IN"/>
    </w:rPr>
  </w:style>
  <w:style w:type="character" w:styleId="Ninguno">
    <w:name w:val="Ninguno"/>
    <w:rPr>
      <w:lang w:val="en-US"/>
    </w:rPr>
  </w:style>
  <w:style w:type="character" w:styleId="Muydestacado">
    <w:name w:val="Muy destacado"/>
    <w:rPr>
      <w:b/>
      <w:bCs/>
    </w:rPr>
  </w:style>
  <w:style w:type="character" w:styleId="ListLabel1">
    <w:name w:val="ListLabel 1"/>
    <w:rPr>
      <w:color w:val="000000"/>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ascii="Garamond" w:hAnsi="Garamond" w:cs="Lucida 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ascii="Garamond" w:hAnsi="Garamond" w:cs="Lucida Sans"/>
    </w:rPr>
  </w:style>
  <w:style w:type="paragraph" w:styleId="Encabezado2">
    <w:name w:val="Encabezado2"/>
    <w:basedOn w:val="Normal"/>
    <w:pPr>
      <w:keepNext/>
      <w:spacing w:before="240" w:after="120"/>
    </w:pPr>
    <w:rPr>
      <w:rFonts w:ascii="Garamond" w:hAnsi="Garamond" w:eastAsia="Microsoft YaHei" w:cs="Lucida Sans"/>
      <w:sz w:val="28"/>
      <w:szCs w:val="28"/>
    </w:rPr>
  </w:style>
  <w:style w:type="paragraph" w:styleId="Epgrafe">
    <w:name w:val="Epígrafe"/>
    <w:basedOn w:val="Normal"/>
    <w:pPr>
      <w:suppressLineNumbers/>
      <w:spacing w:before="120" w:after="120"/>
    </w:pPr>
    <w:rPr>
      <w:rFonts w:ascii="Garamond" w:hAnsi="Garamond" w:cs="Lucida Sans"/>
      <w:i/>
      <w:iCs/>
      <w:sz w:val="24"/>
      <w:szCs w:val="24"/>
    </w:rPr>
  </w:style>
  <w:style w:type="paragraph" w:styleId="Encabezado1">
    <w:name w:val="Encabezado1"/>
    <w:basedOn w:val="Normal"/>
    <w:pPr>
      <w:keepNext/>
      <w:spacing w:before="240" w:after="120"/>
    </w:pPr>
    <w:rPr>
      <w:rFonts w:ascii="Garamond" w:hAnsi="Garamond" w:eastAsia="Microsoft YaHei" w:cs="Lucida Sans"/>
      <w:sz w:val="28"/>
      <w:szCs w:val="28"/>
    </w:rPr>
  </w:style>
  <w:style w:type="paragraph" w:styleId="Epgrafe1">
    <w:name w:val="Epígrafe1"/>
    <w:basedOn w:val="Normal"/>
    <w:pPr>
      <w:suppressLineNumbers/>
      <w:spacing w:before="120" w:after="120"/>
    </w:pPr>
    <w:rPr>
      <w:rFonts w:ascii="Garamond" w:hAnsi="Garamond" w:cs="Lucida Sans"/>
      <w:i/>
      <w:iCs/>
      <w:sz w:val="24"/>
      <w:szCs w:val="24"/>
    </w:rPr>
  </w:style>
  <w:style w:type="paragraph" w:styleId="ListParagraph">
    <w:name w:val="List Paragraph"/>
    <w:basedOn w:val="Normal"/>
    <w:pPr>
      <w:spacing w:before="0" w:after="160"/>
      <w:ind w:left="720" w:right="0" w:hanging="0"/>
      <w:contextualSpacing/>
    </w:pPr>
    <w:rPr/>
  </w:style>
  <w:style w:type="paragraph" w:styleId="Encabezamiento">
    <w:name w:val="Encabezamiento"/>
    <w:basedOn w:val="Normal"/>
    <w:pPr>
      <w:tabs>
        <w:tab w:val="center" w:pos="4252" w:leader="none"/>
        <w:tab w:val="right" w:pos="8504" w:leader="none"/>
      </w:tabs>
    </w:pPr>
    <w:rPr>
      <w:rFonts w:cs="Mangal;Liberation Mono"/>
      <w:szCs w:val="21"/>
    </w:rPr>
  </w:style>
  <w:style w:type="paragraph" w:styleId="Piedepgina">
    <w:name w:val="Pie de página"/>
    <w:basedOn w:val="Normal"/>
    <w:pPr>
      <w:tabs>
        <w:tab w:val="center" w:pos="4252" w:leader="none"/>
        <w:tab w:val="right" w:pos="8504" w:leader="none"/>
      </w:tabs>
    </w:pPr>
    <w:rPr>
      <w:rFonts w:cs="Mangal;Liberation Mono"/>
      <w:szCs w:val="21"/>
    </w:rPr>
  </w:style>
  <w:style w:type="paragraph" w:styleId="CuerpoA">
    <w:name w:val="Cuerpo A"/>
    <w:pPr>
      <w:widowControl/>
      <w:shd w:fill="FFFFFF" w:val="clear"/>
      <w:suppressAutoHyphens w:val="true"/>
      <w:bidi w:val="0"/>
      <w:jc w:val="left"/>
    </w:pPr>
    <w:rPr>
      <w:rFonts w:ascii="Helvetica" w:hAnsi="Helvetica" w:eastAsia="Helvetica" w:cs="Helvetica"/>
      <w:color w:val="000000"/>
      <w:sz w:val="22"/>
      <w:szCs w:val="22"/>
      <w:lang w:val="en-US" w:eastAsia="zh-CN" w:bidi="hi-IN"/>
    </w:rPr>
  </w:style>
  <w:style w:type="paragraph" w:styleId="Prrafodelista">
    <w:name w:val="Párrafo de lista"/>
    <w:basedOn w:val="Normal"/>
    <w:pPr>
      <w:spacing w:lineRule="auto" w:line="252" w:before="0" w:after="160"/>
      <w:ind w:left="720" w:right="0" w:hanging="0"/>
      <w:contextualSpacing/>
    </w:pPr>
    <w:rPr>
      <w:rFonts w:ascii="Calibri;Calibri" w:hAnsi="Calibri;Calibri" w:eastAsia="Calibri;Calibri" w:cs="Times New Roman"/>
    </w:rPr>
  </w:style>
  <w:style w:type="paragraph" w:styleId="NormalWeb">
    <w:name w:val="Normal (Web)"/>
    <w:basedOn w:val="Normal"/>
    <w:pPr>
      <w:suppressAutoHyphens w:val="false"/>
      <w:spacing w:before="280" w:after="280"/>
    </w:pPr>
    <w:rPr>
      <w:rFonts w:ascii="Times New Roman" w:hAnsi="Times New Roman" w:eastAsia="Times New Roman" w:cs="Times New Roman"/>
      <w:lang w:bidi="ar-SA"/>
    </w:rPr>
  </w:style>
  <w:style w:type="paragraph" w:styleId="Sinespaciado">
    <w:name w:val="Sin espaciado"/>
    <w:pPr>
      <w:widowControl/>
      <w:suppressAutoHyphens w:val="true"/>
      <w:bidi w:val="0"/>
      <w:jc w:val="left"/>
    </w:pPr>
    <w:rPr>
      <w:rFonts w:ascii="Calibri;Calibri" w:hAnsi="Calibri;Calibri" w:eastAsia="Calibri;Calibri" w:cs="Calibri;Calibri"/>
      <w:color w:val="00000A"/>
      <w:sz w:val="22"/>
      <w:szCs w:val="22"/>
      <w:lang w:val="es-ES" w:eastAsia="zh-CN" w:bidi="ar-SA"/>
    </w:rPr>
  </w:style>
  <w:style w:type="paragraph" w:styleId="Default">
    <w:name w:val="Default"/>
    <w:pPr>
      <w:widowControl/>
      <w:suppressAutoHyphens w:val="true"/>
      <w:bidi w:val="0"/>
      <w:jc w:val="left"/>
    </w:pPr>
    <w:rPr>
      <w:rFonts w:ascii="Calibri;Calibri" w:hAnsi="Calibri;Calibri" w:eastAsia="Times New Roman" w:cs="Calibri;Calibri"/>
      <w:color w:val="000000"/>
      <w:sz w:val="24"/>
      <w:szCs w:val="24"/>
      <w:lang w:val="es-ES" w:eastAsia="zh-CN" w:bidi="ar-SA"/>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2018-04-02T10:33:00Z</dcterms:created>
  <dc:creator>Domingo Pedro García</dc:creator>
  <dc:language>es-ES</dc:language>
  <cp:lastModifiedBy>GM IU-Jerez</cp:lastModifiedBy>
  <cp:lastPrinted>2018-04-02T10:25:00Z</cp:lastPrinted>
  <dcterms:modified xsi:type="dcterms:W3CDTF">2018-04-02T10:33:00Z</dcterms:modified>
  <cp:revision>2</cp:revision>
</cp:coreProperties>
</file>